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E6BC9" w14:textId="0EE981BD" w:rsidR="00D73502" w:rsidRPr="00EB5EA4" w:rsidRDefault="0082173D" w:rsidP="00D968B3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Miejscowość: ...</w:t>
      </w:r>
    </w:p>
    <w:p w14:paraId="21B92F0F" w14:textId="6CF21BD0" w:rsidR="0082173D" w:rsidRPr="00EB5EA4" w:rsidRDefault="0082173D" w:rsidP="00D968B3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Data: …</w:t>
      </w:r>
    </w:p>
    <w:p w14:paraId="0AADCA50" w14:textId="77777777" w:rsidR="00A7057F" w:rsidRPr="00EB5EA4" w:rsidRDefault="00A7057F" w:rsidP="00D968B3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</w:p>
    <w:p w14:paraId="453C0BD0" w14:textId="551A0AD5" w:rsidR="00A97EAF" w:rsidRPr="00EB5EA4" w:rsidRDefault="00A97EAF" w:rsidP="004D7DF3">
      <w:pPr>
        <w:pStyle w:val="EYBulletedList1"/>
        <w:numPr>
          <w:ilvl w:val="0"/>
          <w:numId w:val="0"/>
        </w:numPr>
        <w:jc w:val="center"/>
        <w:rPr>
          <w:rFonts w:ascii="Calibri" w:hAnsi="Calibri" w:cs="Calibri"/>
          <w:b/>
          <w:bCs/>
          <w:sz w:val="22"/>
          <w:szCs w:val="22"/>
        </w:rPr>
      </w:pPr>
      <w:r w:rsidRPr="00EB5EA4">
        <w:rPr>
          <w:rFonts w:ascii="Calibri" w:hAnsi="Calibri" w:cs="Calibri"/>
          <w:b/>
          <w:bCs/>
          <w:sz w:val="22"/>
          <w:szCs w:val="22"/>
        </w:rPr>
        <w:t>Porozumienie o rezygnacji z prognoz BSA i LLU</w:t>
      </w:r>
    </w:p>
    <w:p w14:paraId="4640C843" w14:textId="77777777" w:rsidR="00A7057F" w:rsidRPr="00EB5EA4" w:rsidRDefault="00A7057F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B83A53B" w14:textId="4DFEE26A" w:rsidR="00E4582D" w:rsidRPr="00EB5EA4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Zawarte pomiędzy:</w:t>
      </w:r>
    </w:p>
    <w:p w14:paraId="26B721CD" w14:textId="1B040CB8" w:rsidR="00E4582D" w:rsidRPr="00EB5EA4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 xml:space="preserve">OSD: </w:t>
      </w:r>
      <w:r w:rsidR="00E362B7" w:rsidRPr="00E362B7">
        <w:rPr>
          <w:rFonts w:ascii="Calibri" w:hAnsi="Calibri" w:cs="Calibri"/>
          <w:sz w:val="22"/>
          <w:szCs w:val="22"/>
        </w:rPr>
        <w:t>DREAMLINK SPÓŁKA Z OGRANICZONĄ ODPOWIEDZIALNOŚCIĄ., z siedzibą w Warszawie (00-819) pod adresem: ul. Złota 75A/7, wpisaną do rejestru przedsiębiorców Krajowego Rejestru Sądowego prowadzonego przez Sąd Rejonowy w Białymstoku, XII Wydział Gospodarczy Krajowego Rejestru Sądowego pod numerem KRS: 0000862060, REGON: 38716481300000 NIP 7571488814, wpisaną/</w:t>
      </w:r>
      <w:proofErr w:type="spellStart"/>
      <w:r w:rsidR="00E362B7" w:rsidRPr="00E362B7">
        <w:rPr>
          <w:rFonts w:ascii="Calibri" w:hAnsi="Calibri" w:cs="Calibri"/>
          <w:sz w:val="22"/>
          <w:szCs w:val="22"/>
        </w:rPr>
        <w:t>ym</w:t>
      </w:r>
      <w:proofErr w:type="spellEnd"/>
      <w:r w:rsidR="00E362B7" w:rsidRPr="00E362B7">
        <w:rPr>
          <w:rFonts w:ascii="Calibri" w:hAnsi="Calibri" w:cs="Calibri"/>
          <w:sz w:val="22"/>
          <w:szCs w:val="22"/>
        </w:rPr>
        <w:t xml:space="preserve"> do rejestru przedsiębiorców telekomunikacyjnych prowadzonego przez Prezesa Urzędu Komunikacji Elektronicznej pod numerem 13242</w:t>
      </w:r>
    </w:p>
    <w:p w14:paraId="260361B6" w14:textId="7DD53415" w:rsidR="00E4582D" w:rsidRPr="00EB5EA4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 xml:space="preserve">reprezentowanym przez: </w:t>
      </w:r>
    </w:p>
    <w:p w14:paraId="53CB13B7" w14:textId="77777777" w:rsidR="00E4582D" w:rsidRPr="00EB5EA4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</w:p>
    <w:p w14:paraId="5A988C17" w14:textId="77777777" w:rsidR="00E4582D" w:rsidRPr="00EB5EA4" w:rsidRDefault="00E4582D" w:rsidP="00E4582D">
      <w:pPr>
        <w:pStyle w:val="EYBulletedList1"/>
        <w:numPr>
          <w:ilvl w:val="0"/>
          <w:numId w:val="0"/>
        </w:numPr>
        <w:jc w:val="left"/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OK: …</w:t>
      </w:r>
    </w:p>
    <w:p w14:paraId="565582F2" w14:textId="416E3661" w:rsidR="00E4582D" w:rsidRPr="00EB5EA4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 xml:space="preserve">reprezentowanym przez: </w:t>
      </w:r>
    </w:p>
    <w:p w14:paraId="3C1C5A0B" w14:textId="444B6C76" w:rsidR="00E4582D" w:rsidRPr="00EB5EA4" w:rsidRDefault="00E4582D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 xml:space="preserve">zwanymi dalej łącznie </w:t>
      </w:r>
      <w:r w:rsidRPr="00EB5EA4">
        <w:rPr>
          <w:rFonts w:ascii="Calibri" w:hAnsi="Calibri" w:cs="Calibri"/>
          <w:b/>
          <w:bCs/>
          <w:sz w:val="22"/>
          <w:szCs w:val="22"/>
        </w:rPr>
        <w:t>Stronami</w:t>
      </w:r>
      <w:r w:rsidRPr="00EB5EA4">
        <w:rPr>
          <w:rFonts w:ascii="Calibri" w:hAnsi="Calibri" w:cs="Calibri"/>
          <w:sz w:val="22"/>
          <w:szCs w:val="22"/>
        </w:rPr>
        <w:t xml:space="preserve">, a osobno </w:t>
      </w:r>
      <w:r w:rsidRPr="00EB5EA4">
        <w:rPr>
          <w:rFonts w:ascii="Calibri" w:hAnsi="Calibri" w:cs="Calibri"/>
          <w:b/>
          <w:bCs/>
          <w:sz w:val="22"/>
          <w:szCs w:val="22"/>
        </w:rPr>
        <w:t>Stroną</w:t>
      </w:r>
    </w:p>
    <w:p w14:paraId="753E939F" w14:textId="77777777" w:rsidR="00C14FD5" w:rsidRPr="00EB5EA4" w:rsidRDefault="00C14FD5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7EA71367" w14:textId="1F7A8623" w:rsidR="00125FC8" w:rsidRPr="00EB5EA4" w:rsidRDefault="00125FC8" w:rsidP="00E4582D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o następującej treść:</w:t>
      </w:r>
    </w:p>
    <w:p w14:paraId="041F5A62" w14:textId="3DD49B51" w:rsidR="00E46746" w:rsidRPr="00EB5EA4" w:rsidRDefault="00822071" w:rsidP="00E4582D">
      <w:pPr>
        <w:pStyle w:val="EYBulletedList1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>Niniejsze porozumienie dotyczy umowy ramowej w zakresie dostępu hurtowego do sieci zrealizowanej w ramach KPO4</w:t>
      </w:r>
      <w:r w:rsidR="00E46746" w:rsidRPr="00EB5EA4">
        <w:rPr>
          <w:rFonts w:ascii="Calibri" w:hAnsi="Calibri" w:cs="Calibri"/>
          <w:sz w:val="22"/>
          <w:szCs w:val="22"/>
        </w:rPr>
        <w:t xml:space="preserve">, zawartej w dniu …, nr … (dalej </w:t>
      </w:r>
      <w:r w:rsidR="00E46746" w:rsidRPr="00EB5EA4">
        <w:rPr>
          <w:rFonts w:ascii="Calibri" w:hAnsi="Calibri" w:cs="Calibri"/>
          <w:b/>
          <w:bCs/>
          <w:sz w:val="22"/>
          <w:szCs w:val="22"/>
        </w:rPr>
        <w:t>Umowa ramowa</w:t>
      </w:r>
      <w:r w:rsidR="00E46746" w:rsidRPr="00EB5EA4">
        <w:rPr>
          <w:rFonts w:ascii="Calibri" w:hAnsi="Calibri" w:cs="Calibri"/>
          <w:sz w:val="22"/>
          <w:szCs w:val="22"/>
        </w:rPr>
        <w:t>).</w:t>
      </w:r>
      <w:r w:rsidRPr="00EB5EA4">
        <w:rPr>
          <w:rFonts w:ascii="Calibri" w:hAnsi="Calibri" w:cs="Calibri"/>
          <w:sz w:val="22"/>
          <w:szCs w:val="22"/>
        </w:rPr>
        <w:t xml:space="preserve"> </w:t>
      </w:r>
    </w:p>
    <w:p w14:paraId="247BA76A" w14:textId="589A0000" w:rsidR="0054043E" w:rsidRPr="00EB5EA4" w:rsidRDefault="00C14FD5" w:rsidP="00E4582D">
      <w:pPr>
        <w:pStyle w:val="EYBulletedList1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EB5EA4">
        <w:rPr>
          <w:rFonts w:ascii="Calibri" w:hAnsi="Calibri" w:cs="Calibri"/>
          <w:sz w:val="22"/>
          <w:szCs w:val="22"/>
        </w:rPr>
        <w:t xml:space="preserve">Strony niniejszym zgodnie ustalają, iż rezygnują ze stosowania </w:t>
      </w:r>
      <w:r w:rsidR="008E7CD9" w:rsidRPr="00EB5EA4">
        <w:rPr>
          <w:rFonts w:ascii="Calibri" w:hAnsi="Calibri" w:cs="Calibri"/>
          <w:sz w:val="22"/>
          <w:szCs w:val="22"/>
        </w:rPr>
        <w:t xml:space="preserve">mechanizmu prognoz w zakresie usług BSA i LLU. Postanowienia </w:t>
      </w:r>
      <w:r w:rsidR="0005293E" w:rsidRPr="00EB5EA4">
        <w:rPr>
          <w:rFonts w:ascii="Calibri" w:hAnsi="Calibri" w:cs="Calibri"/>
          <w:sz w:val="22"/>
          <w:szCs w:val="22"/>
        </w:rPr>
        <w:t xml:space="preserve">pkt 16.1 i 16.2 </w:t>
      </w:r>
      <w:r w:rsidR="008E7CD9" w:rsidRPr="00EB5EA4">
        <w:rPr>
          <w:rFonts w:ascii="Calibri" w:hAnsi="Calibri" w:cs="Calibri"/>
          <w:sz w:val="22"/>
          <w:szCs w:val="22"/>
        </w:rPr>
        <w:t xml:space="preserve">Umowy ramowej </w:t>
      </w:r>
      <w:r w:rsidR="0005293E" w:rsidRPr="00EB5EA4">
        <w:rPr>
          <w:rFonts w:ascii="Calibri" w:hAnsi="Calibri" w:cs="Calibri"/>
          <w:sz w:val="22"/>
          <w:szCs w:val="22"/>
        </w:rPr>
        <w:t>nie znajdują tym samym zastosowania.</w:t>
      </w:r>
    </w:p>
    <w:p w14:paraId="3CA5D3CB" w14:textId="77777777" w:rsidR="00A7057F" w:rsidRPr="00EB5EA4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40116F53" w14:textId="77777777" w:rsidR="00A7057F" w:rsidRPr="00EB5EA4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2F912854" w14:textId="77777777" w:rsidR="00A7057F" w:rsidRPr="00EB5EA4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0B4AC1F1" w14:textId="77777777" w:rsidR="00A7057F" w:rsidRPr="00EB5EA4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057F" w:rsidRPr="00EB5EA4" w14:paraId="59BDFCF3" w14:textId="77777777" w:rsidTr="00A7057F">
        <w:tc>
          <w:tcPr>
            <w:tcW w:w="4531" w:type="dxa"/>
          </w:tcPr>
          <w:p w14:paraId="76730757" w14:textId="164CB913" w:rsidR="00A7057F" w:rsidRPr="00EB5EA4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5EA4">
              <w:rPr>
                <w:rFonts w:ascii="Calibri" w:hAnsi="Calibri" w:cs="Calibri"/>
                <w:sz w:val="22"/>
                <w:szCs w:val="22"/>
              </w:rPr>
              <w:t>____________________</w:t>
            </w:r>
          </w:p>
          <w:p w14:paraId="4FCCF085" w14:textId="1142D08D" w:rsidR="00A7057F" w:rsidRPr="00EB5EA4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5EA4">
              <w:rPr>
                <w:rFonts w:ascii="Calibri" w:hAnsi="Calibri" w:cs="Calibri"/>
                <w:sz w:val="22"/>
                <w:szCs w:val="22"/>
              </w:rPr>
              <w:t>za OSD</w:t>
            </w:r>
          </w:p>
        </w:tc>
        <w:tc>
          <w:tcPr>
            <w:tcW w:w="4531" w:type="dxa"/>
          </w:tcPr>
          <w:p w14:paraId="104A7A18" w14:textId="77777777" w:rsidR="00A7057F" w:rsidRPr="00EB5EA4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5EA4">
              <w:rPr>
                <w:rFonts w:ascii="Calibri" w:hAnsi="Calibri" w:cs="Calibri"/>
                <w:sz w:val="22"/>
                <w:szCs w:val="22"/>
              </w:rPr>
              <w:t>____________________</w:t>
            </w:r>
          </w:p>
          <w:p w14:paraId="0433FEAE" w14:textId="56F4C34F" w:rsidR="00A7057F" w:rsidRPr="00EB5EA4" w:rsidRDefault="00A7057F" w:rsidP="00A7057F">
            <w:pPr>
              <w:pStyle w:val="EYBulletedList1"/>
              <w:numPr>
                <w:ilvl w:val="0"/>
                <w:numId w:val="0"/>
              </w:num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B5EA4">
              <w:rPr>
                <w:rFonts w:ascii="Calibri" w:hAnsi="Calibri" w:cs="Calibri"/>
                <w:sz w:val="22"/>
                <w:szCs w:val="22"/>
              </w:rPr>
              <w:t>za OK</w:t>
            </w:r>
          </w:p>
        </w:tc>
      </w:tr>
    </w:tbl>
    <w:p w14:paraId="14EE92F1" w14:textId="77777777" w:rsidR="00A7057F" w:rsidRPr="00EB5EA4" w:rsidRDefault="00A7057F" w:rsidP="00A7057F">
      <w:pPr>
        <w:pStyle w:val="EYBulletedList1"/>
        <w:numPr>
          <w:ilvl w:val="0"/>
          <w:numId w:val="0"/>
        </w:numPr>
        <w:rPr>
          <w:rFonts w:ascii="Calibri" w:hAnsi="Calibri" w:cs="Calibri"/>
          <w:sz w:val="22"/>
          <w:szCs w:val="22"/>
        </w:rPr>
      </w:pPr>
    </w:p>
    <w:p w14:paraId="5B606E72" w14:textId="77777777" w:rsidR="00991DF2" w:rsidRPr="00EB5EA4" w:rsidRDefault="00991DF2">
      <w:pPr>
        <w:rPr>
          <w:rFonts w:ascii="Calibri" w:hAnsi="Calibri" w:cs="Calibri"/>
        </w:rPr>
      </w:pPr>
    </w:p>
    <w:sectPr w:rsidR="00991DF2" w:rsidRPr="00EB5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6D3E8" w14:textId="77777777" w:rsidR="0082173D" w:rsidRDefault="0082173D" w:rsidP="0082173D">
      <w:pPr>
        <w:spacing w:after="0" w:line="240" w:lineRule="auto"/>
      </w:pPr>
      <w:r>
        <w:separator/>
      </w:r>
    </w:p>
  </w:endnote>
  <w:endnote w:type="continuationSeparator" w:id="0">
    <w:p w14:paraId="409FCDE3" w14:textId="77777777" w:rsidR="0082173D" w:rsidRDefault="0082173D" w:rsidP="0082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YInterstate Light">
    <w:altName w:val="Cambria"/>
    <w:charset w:val="EE"/>
    <w:family w:val="auto"/>
    <w:pitch w:val="variable"/>
    <w:sig w:usb0="A00002AF" w:usb1="5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5529F" w14:textId="77777777" w:rsidR="0082173D" w:rsidRDefault="0082173D" w:rsidP="0082173D">
      <w:pPr>
        <w:spacing w:after="0" w:line="240" w:lineRule="auto"/>
      </w:pPr>
      <w:r>
        <w:separator/>
      </w:r>
    </w:p>
  </w:footnote>
  <w:footnote w:type="continuationSeparator" w:id="0">
    <w:p w14:paraId="79ADF77C" w14:textId="77777777" w:rsidR="0082173D" w:rsidRDefault="0082173D" w:rsidP="0082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8E9D5" w14:textId="5110B858" w:rsidR="004D7DF3" w:rsidRPr="00957E64" w:rsidRDefault="004D7DF3" w:rsidP="004D7DF3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>
      <w:rPr>
        <w:sz w:val="18"/>
        <w:szCs w:val="18"/>
      </w:rPr>
      <w:t>3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 xml:space="preserve">PO4 przez </w:t>
    </w:r>
    <w:r w:rsidR="00E362B7" w:rsidRPr="00E362B7">
      <w:rPr>
        <w:sz w:val="18"/>
        <w:szCs w:val="18"/>
      </w:rPr>
      <w:t>DREAMLINK SPÓŁKA Z OGRANICZONĄ ODPOWIEDZIALNOŚCIĄ</w:t>
    </w:r>
  </w:p>
  <w:p w14:paraId="3D78932A" w14:textId="77777777" w:rsidR="0082173D" w:rsidRDefault="0082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69B4"/>
    <w:multiLevelType w:val="hybridMultilevel"/>
    <w:tmpl w:val="3C18F8F6"/>
    <w:lvl w:ilvl="0" w:tplc="1B5E4242">
      <w:start w:val="1"/>
      <w:numFmt w:val="decimal"/>
      <w:lvlText w:val="%1)"/>
      <w:lvlJc w:val="left"/>
      <w:pPr>
        <w:ind w:left="360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866E1FA">
      <w:start w:val="1"/>
      <w:numFmt w:val="lowerLetter"/>
      <w:lvlText w:val="%2)"/>
      <w:lvlJc w:val="left"/>
      <w:pPr>
        <w:ind w:left="108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B8174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10D40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C137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0CFD4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6848D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8CF4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42A05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CAD7C82"/>
    <w:multiLevelType w:val="multilevel"/>
    <w:tmpl w:val="E1A0643A"/>
    <w:lvl w:ilvl="0">
      <w:start w:val="1"/>
      <w:numFmt w:val="bullet"/>
      <w:pStyle w:val="EYBulletedList1"/>
      <w:lvlText w:val="•"/>
      <w:lvlJc w:val="left"/>
      <w:pPr>
        <w:tabs>
          <w:tab w:val="num" w:pos="572"/>
        </w:tabs>
        <w:ind w:left="572" w:hanging="288"/>
      </w:pPr>
      <w:rPr>
        <w:rFonts w:ascii="EYInterstate Light" w:hAnsi="EYInterstate Light" w:hint="default"/>
        <w:b w:val="0"/>
        <w:i w:val="0"/>
        <w:color w:val="auto"/>
        <w:sz w:val="20"/>
        <w:szCs w:val="24"/>
      </w:rPr>
    </w:lvl>
    <w:lvl w:ilvl="1">
      <w:start w:val="1"/>
      <w:numFmt w:val="bullet"/>
      <w:pStyle w:val="EYBulletedList2"/>
      <w:lvlText w:val="–"/>
      <w:lvlJc w:val="left"/>
      <w:pPr>
        <w:tabs>
          <w:tab w:val="num" w:pos="576"/>
        </w:tabs>
        <w:ind w:left="576" w:hanging="288"/>
      </w:pPr>
      <w:rPr>
        <w:rFonts w:ascii="Arial" w:hAnsi="Arial" w:hint="default"/>
        <w:b w:val="0"/>
        <w:i w:val="0"/>
        <w:color w:val="FFD200"/>
        <w:sz w:val="20"/>
        <w:szCs w:val="24"/>
      </w:rPr>
    </w:lvl>
    <w:lvl w:ilvl="2">
      <w:start w:val="1"/>
      <w:numFmt w:val="bullet"/>
      <w:pStyle w:val="EYBulletedList3"/>
      <w:lvlText w:val="•"/>
      <w:lvlJc w:val="left"/>
      <w:pPr>
        <w:tabs>
          <w:tab w:val="num" w:pos="864"/>
        </w:tabs>
        <w:ind w:left="864" w:hanging="288"/>
      </w:pPr>
      <w:rPr>
        <w:rFonts w:ascii="EYInterstate Light" w:hAnsi="EYInterstate Light" w:hint="default"/>
        <w:b w:val="0"/>
        <w:i w:val="0"/>
        <w:color w:val="FFD200"/>
        <w:sz w:val="20"/>
        <w:szCs w:val="24"/>
      </w:rPr>
    </w:lvl>
    <w:lvl w:ilvl="3">
      <w:start w:val="1"/>
      <w:numFmt w:val="bullet"/>
      <w:lvlText w:val="►"/>
      <w:lvlJc w:val="left"/>
      <w:pPr>
        <w:tabs>
          <w:tab w:val="num" w:pos="1289"/>
        </w:tabs>
        <w:ind w:left="1152" w:hanging="288"/>
      </w:pPr>
      <w:rPr>
        <w:rFonts w:ascii="Arial" w:hAnsi="Arial" w:cs="Times New Roman" w:hint="default"/>
        <w:color w:val="auto"/>
        <w:sz w:val="16"/>
        <w:szCs w:val="24"/>
      </w:rPr>
    </w:lvl>
    <w:lvl w:ilvl="4">
      <w:start w:val="1"/>
      <w:numFmt w:val="bullet"/>
      <w:lvlText w:val="►"/>
      <w:lvlJc w:val="left"/>
      <w:pPr>
        <w:tabs>
          <w:tab w:val="num" w:pos="1577"/>
        </w:tabs>
        <w:ind w:left="1440" w:hanging="288"/>
      </w:pPr>
      <w:rPr>
        <w:rFonts w:ascii="Arial" w:hAnsi="Arial" w:cs="Times New Roman" w:hint="default"/>
        <w:color w:val="auto"/>
        <w:sz w:val="16"/>
        <w:szCs w:val="24"/>
      </w:rPr>
    </w:lvl>
    <w:lvl w:ilvl="5">
      <w:start w:val="1"/>
      <w:numFmt w:val="bullet"/>
      <w:lvlText w:val="►"/>
      <w:lvlJc w:val="left"/>
      <w:pPr>
        <w:tabs>
          <w:tab w:val="num" w:pos="1865"/>
        </w:tabs>
        <w:ind w:left="1728" w:hanging="288"/>
      </w:pPr>
      <w:rPr>
        <w:rFonts w:ascii="Arial" w:hAnsi="Arial" w:cs="Times New Roman" w:hint="default"/>
        <w:color w:val="auto"/>
        <w:sz w:val="16"/>
        <w:szCs w:val="24"/>
      </w:rPr>
    </w:lvl>
    <w:lvl w:ilvl="6">
      <w:start w:val="1"/>
      <w:numFmt w:val="none"/>
      <w:suff w:val="nothing"/>
      <w:lvlText w:val=""/>
      <w:lvlJc w:val="left"/>
      <w:pPr>
        <w:ind w:left="2016" w:hanging="288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304" w:hanging="288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592" w:hanging="288"/>
      </w:pPr>
      <w:rPr>
        <w:rFonts w:hint="default"/>
      </w:rPr>
    </w:lvl>
  </w:abstractNum>
  <w:abstractNum w:abstractNumId="2" w15:restartNumberingAfterBreak="0">
    <w:nsid w:val="7A990857"/>
    <w:multiLevelType w:val="hybridMultilevel"/>
    <w:tmpl w:val="417824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148625">
    <w:abstractNumId w:val="1"/>
  </w:num>
  <w:num w:numId="2" w16cid:durableId="787315075">
    <w:abstractNumId w:val="0"/>
  </w:num>
  <w:num w:numId="3" w16cid:durableId="213301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8E3"/>
    <w:rsid w:val="0005293E"/>
    <w:rsid w:val="00125FC8"/>
    <w:rsid w:val="004D7DF3"/>
    <w:rsid w:val="0054043E"/>
    <w:rsid w:val="005E2F11"/>
    <w:rsid w:val="00733962"/>
    <w:rsid w:val="007968E3"/>
    <w:rsid w:val="0082173D"/>
    <w:rsid w:val="00822071"/>
    <w:rsid w:val="008E7CD9"/>
    <w:rsid w:val="00991DF2"/>
    <w:rsid w:val="00A7057F"/>
    <w:rsid w:val="00A97EAF"/>
    <w:rsid w:val="00C14FD5"/>
    <w:rsid w:val="00CA01C1"/>
    <w:rsid w:val="00D73502"/>
    <w:rsid w:val="00D968B3"/>
    <w:rsid w:val="00E1585A"/>
    <w:rsid w:val="00E362B7"/>
    <w:rsid w:val="00E4582D"/>
    <w:rsid w:val="00E46746"/>
    <w:rsid w:val="00EB5EA4"/>
    <w:rsid w:val="00F97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1585B"/>
  <w15:chartTrackingRefBased/>
  <w15:docId w15:val="{BEFDFDC8-4903-4690-8112-F1625E2C1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68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8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68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68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68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68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68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68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68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68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8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68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68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68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68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68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68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68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68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68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68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68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68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68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68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68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68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68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68E3"/>
    <w:rPr>
      <w:b/>
      <w:bCs/>
      <w:smallCaps/>
      <w:color w:val="0F4761" w:themeColor="accent1" w:themeShade="BF"/>
      <w:spacing w:val="5"/>
    </w:rPr>
  </w:style>
  <w:style w:type="paragraph" w:customStyle="1" w:styleId="EYBulletedList1">
    <w:name w:val="EY Bulleted List 1"/>
    <w:qFormat/>
    <w:rsid w:val="00A97EAF"/>
    <w:pPr>
      <w:numPr>
        <w:numId w:val="1"/>
      </w:numPr>
      <w:spacing w:before="60" w:after="60" w:line="276" w:lineRule="auto"/>
      <w:jc w:val="both"/>
    </w:pPr>
    <w:rPr>
      <w:rFonts w:ascii="Arial" w:eastAsia="Times New Roman" w:hAnsi="Arial" w:cs="Arial"/>
      <w:kern w:val="12"/>
      <w:sz w:val="20"/>
      <w:szCs w:val="24"/>
      <w14:ligatures w14:val="none"/>
    </w:rPr>
  </w:style>
  <w:style w:type="paragraph" w:customStyle="1" w:styleId="EYBulletedList2">
    <w:name w:val="EY Bulleted List 2"/>
    <w:qFormat/>
    <w:rsid w:val="00A97EAF"/>
    <w:pPr>
      <w:numPr>
        <w:ilvl w:val="1"/>
        <w:numId w:val="1"/>
      </w:numPr>
      <w:tabs>
        <w:tab w:val="clear" w:pos="576"/>
      </w:tabs>
      <w:spacing w:after="60" w:line="276" w:lineRule="auto"/>
      <w:ind w:left="680" w:hanging="340"/>
    </w:pPr>
    <w:rPr>
      <w:rFonts w:ascii="Arial" w:eastAsia="Times New Roman" w:hAnsi="Arial" w:cs="Arial"/>
      <w:kern w:val="12"/>
      <w:sz w:val="20"/>
      <w:szCs w:val="24"/>
      <w14:ligatures w14:val="none"/>
    </w:rPr>
  </w:style>
  <w:style w:type="paragraph" w:customStyle="1" w:styleId="EYBulletedList3">
    <w:name w:val="EY Bulleted List 3"/>
    <w:qFormat/>
    <w:rsid w:val="00A97EAF"/>
    <w:pPr>
      <w:numPr>
        <w:ilvl w:val="2"/>
        <w:numId w:val="1"/>
      </w:numPr>
      <w:spacing w:after="0" w:line="240" w:lineRule="auto"/>
    </w:pPr>
    <w:rPr>
      <w:rFonts w:eastAsia="Times New Roman" w:cs="Times New Roman"/>
      <w:kern w:val="12"/>
      <w:sz w:val="20"/>
      <w:szCs w:val="24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73D"/>
  </w:style>
  <w:style w:type="paragraph" w:styleId="Stopka">
    <w:name w:val="footer"/>
    <w:basedOn w:val="Normalny"/>
    <w:link w:val="StopkaZnak"/>
    <w:uiPriority w:val="99"/>
    <w:unhideWhenUsed/>
    <w:rsid w:val="008217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73D"/>
  </w:style>
  <w:style w:type="table" w:styleId="Tabela-Siatka">
    <w:name w:val="Table Grid"/>
    <w:basedOn w:val="Standardowy"/>
    <w:uiPriority w:val="39"/>
    <w:rsid w:val="00A70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957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Jankowski KPM</dc:creator>
  <cp:keywords/>
  <dc:description/>
  <cp:lastModifiedBy>Maciej Jankowski KPM</cp:lastModifiedBy>
  <cp:revision>19</cp:revision>
  <dcterms:created xsi:type="dcterms:W3CDTF">2025-10-09T14:32:00Z</dcterms:created>
  <dcterms:modified xsi:type="dcterms:W3CDTF">2025-10-09T17:32:00Z</dcterms:modified>
</cp:coreProperties>
</file>